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天津市农村集体经营性资产转出申请书</w:t>
      </w:r>
    </w:p>
    <w:p>
      <w:pPr>
        <w:spacing w:line="480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z w:val="30"/>
          <w:szCs w:val="30"/>
        </w:rPr>
        <w:t>（非村委会流转使用）</w:t>
      </w:r>
    </w:p>
    <w:p>
      <w:pPr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（一式两份）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hint="eastAsia" w:ascii="Times New Roman" w:hAnsi="Times New Roman" w:eastAsia="黑体"/>
          <w:b/>
          <w:sz w:val="32"/>
        </w:rPr>
        <w:t>申请人</w:t>
      </w:r>
      <w:r>
        <w:rPr>
          <w:rFonts w:hint="eastAsia" w:ascii="Times New Roman" w:hAnsi="Times New Roman" w:eastAsia="黑体"/>
          <w:b/>
          <w:bCs/>
          <w:sz w:val="28"/>
        </w:rPr>
        <w:t>：</w:t>
      </w:r>
      <w:r>
        <w:rPr>
          <w:rFonts w:ascii="Times New Roman" w:hAnsi="Times New Roman" w:eastAsia="黑体"/>
          <w:b/>
          <w:bCs/>
          <w:sz w:val="28"/>
        </w:rPr>
        <w:t xml:space="preserve">   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                                      </w:t>
      </w:r>
    </w:p>
    <w:p>
      <w:pPr>
        <w:rPr>
          <w:rFonts w:ascii="Times New Roman" w:hAnsi="Times New Roman"/>
          <w:b/>
          <w:bCs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hint="eastAsia" w:ascii="Times New Roman" w:hAnsi="Times New Roman" w:eastAsia="黑体"/>
          <w:b/>
          <w:bCs/>
          <w:sz w:val="32"/>
        </w:rPr>
        <w:t>法定代表人</w:t>
      </w:r>
      <w:r>
        <w:rPr>
          <w:rFonts w:ascii="Times New Roman" w:hAnsi="Times New Roman" w:eastAsia="黑体"/>
          <w:b/>
          <w:bCs/>
          <w:sz w:val="32"/>
        </w:rPr>
        <w:t>/</w:t>
      </w:r>
      <w:r>
        <w:rPr>
          <w:rFonts w:hint="eastAsia" w:ascii="Times New Roman" w:hAnsi="Times New Roman" w:eastAsia="黑体"/>
          <w:b/>
          <w:bCs/>
          <w:sz w:val="32"/>
        </w:rPr>
        <w:t>负责人</w:t>
      </w:r>
      <w:r>
        <w:rPr>
          <w:rFonts w:hint="eastAsia" w:ascii="Times New Roman" w:hAnsi="Times New Roman" w:eastAsia="黑体"/>
          <w:b/>
          <w:bCs/>
          <w:sz w:val="28"/>
        </w:rPr>
        <w:t>：</w:t>
      </w:r>
      <w:r>
        <w:rPr>
          <w:rFonts w:ascii="Times New Roman" w:hAnsi="Times New Roman" w:eastAsia="黑体"/>
          <w:b/>
          <w:bCs/>
          <w:sz w:val="28"/>
        </w:rPr>
        <w:t xml:space="preserve">    </w:t>
      </w:r>
      <w:r>
        <w:rPr>
          <w:rFonts w:ascii="Times New Roman" w:hAnsi="Times New Roman" w:eastAsia="黑体"/>
          <w:sz w:val="28"/>
          <w:u w:val="single"/>
        </w:rPr>
        <w:t xml:space="preserve">                                  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tbl>
      <w:tblPr>
        <w:tblStyle w:val="8"/>
        <w:tblW w:w="7935" w:type="dxa"/>
        <w:tblInd w:w="274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7935" w:type="dxa"/>
            <w:tcBorders>
              <w:top w:val="dotDash" w:color="auto" w:sz="4" w:space="0"/>
              <w:left w:val="dotDash" w:color="auto" w:sz="4" w:space="0"/>
              <w:bottom w:val="dotDash" w:color="auto" w:sz="4" w:space="0"/>
              <w:right w:val="dotDash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hint="eastAsia" w:ascii="Times New Roman" w:hAnsi="Times New Roman"/>
                <w:b/>
                <w:bCs/>
                <w:sz w:val="36"/>
              </w:rPr>
              <w:t>敬</w:t>
            </w:r>
            <w:r>
              <w:rPr>
                <w:rFonts w:ascii="Times New Roman" w:hAnsi="Times New Roman"/>
                <w:b/>
                <w:bCs/>
                <w:sz w:val="36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36"/>
              </w:rPr>
              <w:t>告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申请人在填表前，应认真阅读并理解《天津农村产权交易所农村产权交易规则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试行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hint="eastAsia" w:ascii="Times New Roman" w:hAnsi="Times New Roman"/>
                <w:sz w:val="24"/>
              </w:rPr>
              <w:t>》及相关规定。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申请书各项内容务请如实、准确填写。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填写时请使用蓝黑或黑色墨水，字迹工整，不得涂改。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本申请书请转出方加盖骑缝章。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</w:rPr>
        <w:t>天津农村产权交易所有限公司制</w:t>
      </w: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</w:rPr>
        <w:t>二零</w:t>
      </w:r>
      <w:r>
        <w:rPr>
          <w:rFonts w:ascii="Times New Roman" w:hAnsi="Times New Roman" w:eastAsia="黑体"/>
          <w:b/>
          <w:bCs/>
          <w:sz w:val="32"/>
        </w:rPr>
        <w:t xml:space="preserve">    </w:t>
      </w:r>
      <w:r>
        <w:rPr>
          <w:rFonts w:hint="eastAsia" w:ascii="Times New Roman" w:hAnsi="Times New Roman" w:eastAsia="黑体"/>
          <w:b/>
          <w:bCs/>
          <w:sz w:val="32"/>
        </w:rPr>
        <w:t>年</w:t>
      </w:r>
      <w:r>
        <w:rPr>
          <w:rFonts w:ascii="Times New Roman" w:hAnsi="Times New Roman" w:eastAsia="黑体"/>
          <w:b/>
          <w:bCs/>
          <w:sz w:val="32"/>
        </w:rPr>
        <w:t xml:space="preserve">   </w:t>
      </w:r>
      <w:r>
        <w:rPr>
          <w:rFonts w:hint="eastAsia" w:ascii="Times New Roman" w:hAnsi="Times New Roman" w:eastAsia="黑体"/>
          <w:b/>
          <w:bCs/>
          <w:sz w:val="32"/>
        </w:rPr>
        <w:t>月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kern w:val="0"/>
          <w:sz w:val="32"/>
        </w:rPr>
        <w:br w:type="page"/>
      </w:r>
      <w:r>
        <w:rPr>
          <w:rFonts w:hint="eastAsia" w:ascii="Times New Roman" w:hAnsi="Times New Roman" w:eastAsia="黑体"/>
          <w:b/>
          <w:bCs/>
          <w:sz w:val="36"/>
        </w:rPr>
        <w:t>其他主体经营性资产转出申请书</w:t>
      </w:r>
    </w:p>
    <w:p>
      <w:pPr>
        <w:spacing w:line="360" w:lineRule="auto"/>
        <w:rPr>
          <w:rFonts w:ascii="Times New Roman" w:hAnsi="Times New Roman" w:eastAsia="黑体"/>
          <w:bCs/>
          <w:sz w:val="32"/>
        </w:rPr>
      </w:pPr>
      <w:r>
        <w:rPr>
          <w:rFonts w:hint="eastAsia" w:ascii="Times New Roman" w:hAnsi="Times New Roman"/>
          <w:sz w:val="24"/>
        </w:rPr>
        <w:t>天津农村产权交易所有限公司：</w:t>
      </w:r>
    </w:p>
    <w:p>
      <w:pPr>
        <w:wordWrap w:val="0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本转出方现委托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hint="eastAsia" w:ascii="Times New Roman" w:hAnsi="Times New Roman"/>
          <w:b/>
          <w:sz w:val="24"/>
        </w:rPr>
        <w:t>（经纪机构名称）</w:t>
      </w:r>
      <w:r>
        <w:rPr>
          <w:rFonts w:hint="eastAsia" w:ascii="Times New Roman" w:hAnsi="Times New Roman"/>
          <w:sz w:val="24"/>
        </w:rPr>
        <w:t>提出产权转出申请，请将本转出方持有的</w:t>
      </w:r>
      <w:r>
        <w:rPr>
          <w:rFonts w:ascii="Times New Roman" w:hAnsi="Times New Roman"/>
          <w:sz w:val="24"/>
          <w:u w:val="single"/>
        </w:rPr>
        <w:t xml:space="preserve">             </w:t>
      </w:r>
      <w:r>
        <w:rPr>
          <w:rFonts w:hint="eastAsia" w:ascii="Times New Roman" w:hAnsi="Times New Roman"/>
          <w:b/>
          <w:sz w:val="24"/>
        </w:rPr>
        <w:t>（转出标的名称）</w:t>
      </w:r>
      <w:r>
        <w:rPr>
          <w:rFonts w:hint="eastAsia" w:ascii="Times New Roman" w:hAnsi="Times New Roman"/>
          <w:sz w:val="24"/>
        </w:rPr>
        <w:t>通过贵所挂牌转出，并请贵所在相关网站及媒体公开发布产权转出公告信息。对此申请要求，本转出方依照公开、公平、公正、诚信的原则，特做如下承诺：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、本次产权转出是我方真实意愿表示，转出的产权权属清晰，我方对该产权拥有完全的处置权且实施不存在任何限制条件；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、我方转出产权的相关行为已履行了相应程序，经过有效的内部决策，并获得相应批准；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、本转出方对所填写的内容及提交的所有材料（包括原件、复印件）的真实性、合法性、有效性、完整性承担责任，并同意贵所按上述材料内容发布流转信息；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、我方在转出过程中，遵守国家法律法规和产权交易相关规定规则，按照有关交易程序要求履行我方义务；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、已知悉贵所的交易规则，并充分理解和认可，同意按照贵所《天津农村产权交易所农村产权交易规则</w:t>
      </w:r>
      <w:r>
        <w:rPr>
          <w:rFonts w:ascii="Times New Roman" w:hAnsi="Times New Roman"/>
          <w:sz w:val="24"/>
        </w:rPr>
        <w:t>(</w:t>
      </w:r>
      <w:r>
        <w:rPr>
          <w:rFonts w:hint="eastAsia" w:ascii="Times New Roman" w:hAnsi="Times New Roman"/>
          <w:sz w:val="24"/>
        </w:rPr>
        <w:t>试行</w:t>
      </w:r>
      <w:r>
        <w:rPr>
          <w:rFonts w:ascii="Times New Roman" w:hAnsi="Times New Roman"/>
          <w:sz w:val="24"/>
        </w:rPr>
        <w:t>)</w:t>
      </w:r>
      <w:r>
        <w:rPr>
          <w:rFonts w:hint="eastAsia" w:ascii="Times New Roman" w:hAnsi="Times New Roman"/>
          <w:sz w:val="24"/>
        </w:rPr>
        <w:t>》等相关规定实施农村产权流转活动；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、已知悉并认可贵所的收费项目及标准，同意按规定缴纳相关费用；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、在农交所规定的挂牌期间，除不可抗拒力、国家法律法规及政策调整外，不得撤牌；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、在委托贵所公开挂牌流转期间不通过其他渠道进行交易；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、我方保证遵守以上承诺，如违反上述承诺或有违规违法行为，给交易相关方造成一切损失，我方愿意承担相应的法律责任及经济赔偿责任。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申请人</w:t>
      </w:r>
      <w:r>
        <w:rPr>
          <w:rFonts w:hint="eastAsia" w:ascii="Times New Roman" w:hAnsi="Times New Roman"/>
          <w:b/>
          <w:bCs/>
          <w:sz w:val="24"/>
          <w:szCs w:val="24"/>
        </w:rPr>
        <w:t>盖章</w:t>
      </w:r>
      <w:r>
        <w:rPr>
          <w:rFonts w:ascii="Times New Roman" w:hAnsi="Times New Roman"/>
          <w:b/>
          <w:bCs/>
          <w:sz w:val="24"/>
          <w:szCs w:val="24"/>
        </w:rPr>
        <w:t xml:space="preserve">：                            </w:t>
      </w:r>
      <w:r>
        <w:rPr>
          <w:rFonts w:hint="eastAsia" w:ascii="Times New Roman" w:hAnsi="Times New Roman"/>
          <w:b/>
          <w:bCs/>
          <w:sz w:val="24"/>
          <w:szCs w:val="24"/>
        </w:rPr>
        <w:t>经纪机构盖章：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法定代表人</w:t>
      </w:r>
      <w:r>
        <w:rPr>
          <w:rFonts w:hint="eastAsia" w:ascii="Times New Roman" w:hAnsi="Times New Roman"/>
          <w:b/>
          <w:bCs/>
          <w:sz w:val="24"/>
          <w:szCs w:val="24"/>
        </w:rPr>
        <w:t>/负责人</w:t>
      </w:r>
      <w:r>
        <w:rPr>
          <w:rFonts w:ascii="Times New Roman" w:hAnsi="Times New Roman"/>
          <w:b/>
          <w:bCs/>
          <w:sz w:val="24"/>
          <w:szCs w:val="24"/>
        </w:rPr>
        <w:t xml:space="preserve">签字：                 法定代表人签字： 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left="240" w:hanging="240" w:hangingChars="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20    年   月   日</w:t>
      </w:r>
    </w:p>
    <w:p>
      <w:pPr>
        <w:spacing w:line="360" w:lineRule="auto"/>
        <w:jc w:val="center"/>
        <w:rPr>
          <w:rFonts w:ascii="Times New Roman" w:hAnsi="Times New Roman" w:eastAsia="方正仿宋简体"/>
          <w:bCs/>
          <w:sz w:val="32"/>
        </w:rPr>
      </w:pPr>
      <w:r>
        <w:rPr>
          <w:rFonts w:hint="eastAsia" w:ascii="Times New Roman" w:hAnsi="Times New Roman" w:eastAsia="方正仿宋简体"/>
          <w:bCs/>
          <w:sz w:val="32"/>
        </w:rPr>
        <w:t>其他主体经营性资产</w:t>
      </w:r>
      <w:r>
        <w:rPr>
          <w:rFonts w:ascii="Times New Roman" w:hAnsi="Times New Roman" w:eastAsia="方正仿宋简体"/>
          <w:bCs/>
          <w:sz w:val="32"/>
        </w:rPr>
        <w:t>转出申请登记表</w:t>
      </w:r>
    </w:p>
    <w:tbl>
      <w:tblPr>
        <w:tblStyle w:val="8"/>
        <w:tblW w:w="8991" w:type="dxa"/>
        <w:jc w:val="center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"/>
        <w:gridCol w:w="548"/>
        <w:gridCol w:w="197"/>
        <w:gridCol w:w="705"/>
        <w:gridCol w:w="283"/>
        <w:gridCol w:w="526"/>
        <w:gridCol w:w="76"/>
        <w:gridCol w:w="1099"/>
        <w:gridCol w:w="851"/>
        <w:gridCol w:w="133"/>
        <w:gridCol w:w="15"/>
        <w:gridCol w:w="359"/>
        <w:gridCol w:w="488"/>
        <w:gridCol w:w="68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1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经纪机构</w:t>
            </w:r>
          </w:p>
        </w:tc>
        <w:tc>
          <w:tcPr>
            <w:tcW w:w="90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35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978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281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2835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978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转出标的</w:t>
            </w:r>
          </w:p>
        </w:tc>
        <w:tc>
          <w:tcPr>
            <w:tcW w:w="7710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房屋 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建筑物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苗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股权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种畜禽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交通运输工具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商铺 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□其他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转出</w:t>
            </w:r>
            <w:r>
              <w:rPr>
                <w:rFonts w:ascii="Times New Roman" w:hAnsi="Times New Roman"/>
                <w:sz w:val="18"/>
                <w:szCs w:val="18"/>
              </w:rPr>
              <w:t>方式</w:t>
            </w:r>
          </w:p>
        </w:tc>
        <w:tc>
          <w:tcPr>
            <w:tcW w:w="7710" w:type="dxa"/>
            <w:gridSpan w:val="13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□转让  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出租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互换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入股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合作  </w:t>
            </w:r>
            <w:r>
              <w:rPr>
                <w:rFonts w:ascii="Times New Roman" w:hAnsi="Times New Roman"/>
                <w:sz w:val="18"/>
                <w:szCs w:val="18"/>
              </w:rPr>
              <w:t>□其他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转出</w:t>
            </w:r>
            <w:r>
              <w:rPr>
                <w:rFonts w:ascii="Times New Roman" w:hAnsi="Times New Roman"/>
                <w:sz w:val="18"/>
                <w:szCs w:val="18"/>
              </w:rPr>
              <w:t>期限</w:t>
            </w:r>
          </w:p>
        </w:tc>
        <w:tc>
          <w:tcPr>
            <w:tcW w:w="7710" w:type="dxa"/>
            <w:gridSpan w:val="13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年  月  日至     年   月  日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是否存在他项权利人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□是 □否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他项权利人（如存在）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416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他项权利内容（如存在）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□抵押 □质押 □其他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416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相关权利人是否放弃行使优先权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  <w:jc w:val="center"/>
        </w:trPr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需要披露的</w:t>
            </w:r>
          </w:p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与转出标的相关的其他情况</w:t>
            </w:r>
          </w:p>
        </w:tc>
        <w:tc>
          <w:tcPr>
            <w:tcW w:w="7710" w:type="dxa"/>
            <w:gridSpan w:val="13"/>
            <w:shd w:val="clear" w:color="auto" w:fill="auto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评估机构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□会员 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评估基准日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账面价值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资产评估值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标的基本情况简介</w:t>
            </w:r>
          </w:p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7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以下为房屋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、建筑物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坐落位置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房产证号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建筑面积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附属设施</w:t>
            </w:r>
          </w:p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使用年限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7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交通运输工具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车牌号码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车  型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购置日期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登记日期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使用年限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颜  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行驶公里数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万公里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  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标的基本情况简介</w:t>
            </w:r>
          </w:p>
          <w:p>
            <w:pPr>
              <w:pStyle w:val="3"/>
            </w:pPr>
          </w:p>
          <w:p>
            <w:pPr>
              <w:pStyle w:val="3"/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825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苗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品种名称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适宜区域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90" w:hRule="atLeas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品种介绍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4"/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825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以下为种畜禽（农业生产资料）选填部分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品种名称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按用途分类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□毛用 □肉用 □观赏 □奶用 □肉奶兼用 □其他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简要介绍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  <w:ind w:left="723" w:hanging="72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5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其他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转出标的基本情况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"/>
            </w:pPr>
          </w:p>
        </w:tc>
        <w:tc>
          <w:tcPr>
            <w:tcW w:w="8258" w:type="dxa"/>
            <w:gridSpan w:val="14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（包括转出标的名称、数量、质量、资产份额等基本信息）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2466" w:type="dxa"/>
            <w:gridSpan w:val="6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挂牌价格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hint="eastAsia" w:ascii="Times New Roman" w:hAnsi="Times New Roman"/>
                <w:bCs/>
                <w:sz w:val="18"/>
              </w:rPr>
              <w:t xml:space="preserve">   </w:t>
            </w:r>
            <w:r>
              <w:rPr>
                <w:rFonts w:ascii="Times New Roman" w:hAnsi="Times New Roman"/>
                <w:bCs/>
                <w:sz w:val="18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18"/>
              </w:rPr>
              <w:t xml:space="preserve">      </w:t>
            </w:r>
            <w:r>
              <w:rPr>
                <w:rFonts w:ascii="Times New Roman" w:hAnsi="Times New Roman"/>
                <w:bCs/>
                <w:sz w:val="18"/>
              </w:rPr>
              <w:t>元</w:t>
            </w:r>
            <w:r>
              <w:rPr>
                <w:rFonts w:hint="eastAsia"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  <w:sz w:val="18"/>
              </w:rPr>
              <w:t>年</w:t>
            </w:r>
            <w:r>
              <w:rPr>
                <w:rFonts w:hint="eastAsia" w:ascii="Times New Roman" w:hAnsi="Times New Roman"/>
                <w:bCs/>
                <w:sz w:val="18"/>
              </w:rPr>
              <w:t xml:space="preserve"> 或 总价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466" w:type="dxa"/>
            <w:gridSpan w:val="6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交易价款付款方式</w:t>
            </w:r>
          </w:p>
        </w:tc>
        <w:tc>
          <w:tcPr>
            <w:tcW w:w="6525" w:type="dxa"/>
            <w:gridSpan w:val="10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□一次性支付，全部交易价款进场结算。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□分期付款，分期付款方式：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78" w:type="dxa"/>
            <w:gridSpan w:val="4"/>
            <w:shd w:val="clear" w:color="auto" w:fill="auto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</w:rPr>
              <w:t>受让方条件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>
            <w:pPr>
              <w:pStyle w:val="3"/>
              <w:ind w:left="0"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保证金设定</w:t>
            </w:r>
          </w:p>
        </w:tc>
        <w:tc>
          <w:tcPr>
            <w:tcW w:w="15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是否缴纳保证金</w:t>
            </w:r>
          </w:p>
        </w:tc>
        <w:tc>
          <w:tcPr>
            <w:tcW w:w="599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交易保证金：         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交纳形式</w:t>
            </w:r>
          </w:p>
        </w:tc>
        <w:tc>
          <w:tcPr>
            <w:tcW w:w="599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□现金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汇款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□支票 □汇票 □电汇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挂牌信息</w:t>
            </w:r>
          </w:p>
        </w:tc>
        <w:tc>
          <w:tcPr>
            <w:tcW w:w="26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挂牌公告期（至少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  <w:lang w:val="en-US" w:eastAsia="zh-CN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个工作日）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自公告之日起      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个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8"/>
              </w:rPr>
              <w:t>挂牌期满后，如未征集到满足摘牌条件的意向受让方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信息发布终结</w:t>
            </w:r>
          </w:p>
          <w:p>
            <w:pPr>
              <w:pStyle w:val="14"/>
              <w:ind w:firstLine="0"/>
              <w:rPr>
                <w:rStyle w:val="15"/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延长信息发布</w:t>
            </w:r>
            <w:r>
              <w:rPr>
                <w:rStyle w:val="15"/>
                <w:rFonts w:hint="eastAsia"/>
                <w:bCs/>
                <w:color w:val="000000"/>
                <w:sz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不变更信息发布条件，按照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个工作日为一个周期延长，直至征集到意向受让方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           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变更公告内容，重新挂牌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交易方式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挂牌期满，如征集到两个及以上符合条件的意向受让方，选择以下交易方式确定受让方：</w:t>
            </w:r>
          </w:p>
          <w:p>
            <w:pPr>
              <w:pStyle w:val="14"/>
              <w:ind w:firstLine="0"/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网络竞价（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阶梯竞价&lt;竞价阶梯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元 &gt;、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自由竞价）     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拍卖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招投标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  <w:t>价款划入账户</w:t>
            </w:r>
          </w:p>
        </w:tc>
        <w:tc>
          <w:tcPr>
            <w:tcW w:w="751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账户名称：天津农村产权交易所农村经营性资产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开户行：中国邮政储蓄银行股份有限公司天津蓟县支行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账号：912002010000022677300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478" w:type="dxa"/>
            <w:gridSpan w:val="4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  <w:t xml:space="preserve">附件（附件是否齐全，如齐全，请在相应材料前划√）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7513" w:type="dxa"/>
            <w:gridSpan w:val="12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□权属证明材料(土地使用权证、房屋所有权证等证明材料)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 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□相关法律意见书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原件或复印件（复印件需盖章，注明与原件一致）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□标的资产评估报告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原件或复印件（复印件需盖章，注明与原件一致）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□经办人授权委托书原件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经办人身份证复印件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□其他（如有其他附件请详细说明）</w:t>
            </w:r>
            <w:r>
              <w:rPr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自然人</w:t>
            </w:r>
          </w:p>
        </w:tc>
        <w:tc>
          <w:tcPr>
            <w:tcW w:w="5923" w:type="dxa"/>
            <w:gridSpan w:val="8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□自然人身份证复印件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法人</w:t>
            </w:r>
            <w:r>
              <w:rPr>
                <w:rFonts w:hint="eastAsia" w:ascii="Times New Roman" w:hAnsi="Times New Roman"/>
                <w:bCs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其他组织（如农业企业、农民专业合作社）</w:t>
            </w:r>
          </w:p>
        </w:tc>
        <w:tc>
          <w:tcPr>
            <w:tcW w:w="5923" w:type="dxa"/>
            <w:gridSpan w:val="8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营业执照副本复印件（盖章，注明与原件一致）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5923" w:type="dxa"/>
            <w:gridSpan w:val="8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>组织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机构代码证复印件（盖章，注明与原件一致）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5923" w:type="dxa"/>
            <w:gridSpan w:val="8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法定代表人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/负责人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身份证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明原件（盖章）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5923" w:type="dxa"/>
            <w:gridSpan w:val="8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法定代表人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/负责人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证复印件（盖章）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5923" w:type="dxa"/>
            <w:gridSpan w:val="8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合作社章程/公司章程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复印件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（封面盖章，骑缝盖章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，注明与原件一致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5923" w:type="dxa"/>
            <w:gridSpan w:val="8"/>
            <w:tcBorders>
              <w:top w:val="single" w:color="000000" w:sz="8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合作社成员大会决议/股东会决议/董事会决议复印件（盖章，注明与原件一致）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513" w:type="dxa"/>
            <w:gridSpan w:val="1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>合同价款划转时间：对于符合划转条件的，农交所在收到转出方提交的《关于划转农村产权流转交易价款的函》次日起三个工作日内予以办理。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7513" w:type="dxa"/>
            <w:gridSpan w:val="1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 xml:space="preserve">       负责人  签字盖章：</w:t>
            </w:r>
          </w:p>
          <w:p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年   月   日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经纪</w:t>
            </w:r>
            <w:r>
              <w:rPr>
                <w:rFonts w:hint="eastAsia" w:ascii="Times New Roman" w:hAnsi="Times New Roman" w:eastAsia="方正仿宋简体"/>
                <w:b/>
                <w:sz w:val="18"/>
                <w:szCs w:val="18"/>
              </w:rPr>
              <w:t>机构</w:t>
            </w:r>
          </w:p>
        </w:tc>
        <w:tc>
          <w:tcPr>
            <w:tcW w:w="7513" w:type="dxa"/>
            <w:gridSpan w:val="1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意见：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ind w:right="1440" w:firstLine="4320" w:firstLineChars="2400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法定代表人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签字：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478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审核意见</w:t>
            </w:r>
          </w:p>
        </w:tc>
        <w:tc>
          <w:tcPr>
            <w:tcW w:w="7513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村委会意见：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8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镇（街）农经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8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区农经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8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其他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5"/>
    <w:rsid w:val="000420D3"/>
    <w:rsid w:val="000A6D7E"/>
    <w:rsid w:val="000B5292"/>
    <w:rsid w:val="00122DAE"/>
    <w:rsid w:val="0012590E"/>
    <w:rsid w:val="00140990"/>
    <w:rsid w:val="00147DAC"/>
    <w:rsid w:val="001C37F7"/>
    <w:rsid w:val="001D3340"/>
    <w:rsid w:val="00200BD5"/>
    <w:rsid w:val="0020537F"/>
    <w:rsid w:val="0026472C"/>
    <w:rsid w:val="002C5F71"/>
    <w:rsid w:val="002D418A"/>
    <w:rsid w:val="002D6D7E"/>
    <w:rsid w:val="0031295E"/>
    <w:rsid w:val="00330D86"/>
    <w:rsid w:val="00351BC7"/>
    <w:rsid w:val="00373B83"/>
    <w:rsid w:val="003A56AE"/>
    <w:rsid w:val="003A5A7E"/>
    <w:rsid w:val="003D5CC3"/>
    <w:rsid w:val="003F0EA6"/>
    <w:rsid w:val="00404DCB"/>
    <w:rsid w:val="00410BFE"/>
    <w:rsid w:val="004234E6"/>
    <w:rsid w:val="00441066"/>
    <w:rsid w:val="00463271"/>
    <w:rsid w:val="004744FD"/>
    <w:rsid w:val="0048278E"/>
    <w:rsid w:val="004E2A75"/>
    <w:rsid w:val="00504978"/>
    <w:rsid w:val="00521AC1"/>
    <w:rsid w:val="0058148C"/>
    <w:rsid w:val="0058305A"/>
    <w:rsid w:val="005830BF"/>
    <w:rsid w:val="005C017F"/>
    <w:rsid w:val="005D1F33"/>
    <w:rsid w:val="005E45A0"/>
    <w:rsid w:val="005F6C23"/>
    <w:rsid w:val="0063180C"/>
    <w:rsid w:val="0064285A"/>
    <w:rsid w:val="0066277C"/>
    <w:rsid w:val="00713403"/>
    <w:rsid w:val="00777795"/>
    <w:rsid w:val="007D28A1"/>
    <w:rsid w:val="008459CF"/>
    <w:rsid w:val="008841F5"/>
    <w:rsid w:val="008B73D2"/>
    <w:rsid w:val="008C614B"/>
    <w:rsid w:val="009428AF"/>
    <w:rsid w:val="00945457"/>
    <w:rsid w:val="00945E6D"/>
    <w:rsid w:val="0098139D"/>
    <w:rsid w:val="00981A72"/>
    <w:rsid w:val="0099030E"/>
    <w:rsid w:val="00990A29"/>
    <w:rsid w:val="009D17FB"/>
    <w:rsid w:val="009D4A8F"/>
    <w:rsid w:val="00A53996"/>
    <w:rsid w:val="00A902F7"/>
    <w:rsid w:val="00AF5714"/>
    <w:rsid w:val="00AF5A1E"/>
    <w:rsid w:val="00B16975"/>
    <w:rsid w:val="00B33D55"/>
    <w:rsid w:val="00B62F8C"/>
    <w:rsid w:val="00BE5200"/>
    <w:rsid w:val="00BF3522"/>
    <w:rsid w:val="00C250ED"/>
    <w:rsid w:val="00C52661"/>
    <w:rsid w:val="00C72892"/>
    <w:rsid w:val="00CC456A"/>
    <w:rsid w:val="00CD4186"/>
    <w:rsid w:val="00CD5AFC"/>
    <w:rsid w:val="00CE698F"/>
    <w:rsid w:val="00D3635E"/>
    <w:rsid w:val="00D567A3"/>
    <w:rsid w:val="00D63BBF"/>
    <w:rsid w:val="00D6779A"/>
    <w:rsid w:val="00DE5BBC"/>
    <w:rsid w:val="00E13B04"/>
    <w:rsid w:val="00E1695C"/>
    <w:rsid w:val="00E44528"/>
    <w:rsid w:val="00E77A29"/>
    <w:rsid w:val="00E818F2"/>
    <w:rsid w:val="00EE7647"/>
    <w:rsid w:val="00F05D2B"/>
    <w:rsid w:val="00F06BCA"/>
    <w:rsid w:val="00F071B8"/>
    <w:rsid w:val="00F71F5D"/>
    <w:rsid w:val="00FD523A"/>
    <w:rsid w:val="00FE18EB"/>
    <w:rsid w:val="119641A4"/>
    <w:rsid w:val="29EB2F73"/>
    <w:rsid w:val="6D1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99"/>
    <w:pPr>
      <w:spacing w:line="440" w:lineRule="atLeast"/>
      <w:ind w:left="1280" w:hanging="1280" w:hangingChars="400"/>
      <w:jc w:val="center"/>
    </w:pPr>
    <w:rPr>
      <w:rFonts w:ascii="Arial" w:hAnsi="Arial" w:eastAsia="黑体"/>
      <w:sz w:val="32"/>
      <w:szCs w:val="32"/>
    </w:r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3"/>
    <w:qFormat/>
    <w:uiPriority w:val="99"/>
    <w:rPr>
      <w:rFonts w:ascii="Arial" w:hAnsi="Arial" w:eastAsia="黑体" w:cs="Times New Roman"/>
      <w:sz w:val="32"/>
      <w:szCs w:val="32"/>
    </w:rPr>
  </w:style>
  <w:style w:type="character" w:customStyle="1" w:styleId="13">
    <w:name w:val="批注框文本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1"/>
    <w:basedOn w:val="1"/>
    <w:next w:val="3"/>
    <w:qFormat/>
    <w:uiPriority w:val="99"/>
    <w:pPr>
      <w:spacing w:before="60" w:after="60"/>
      <w:ind w:firstLine="425"/>
    </w:pPr>
    <w:rPr>
      <w:sz w:val="24"/>
    </w:rPr>
  </w:style>
  <w:style w:type="character" w:customStyle="1" w:styleId="15">
    <w:name w:val="gwt-radiobutton x-form-field"/>
    <w:qFormat/>
    <w:uiPriority w:val="99"/>
    <w:rPr>
      <w:rFonts w:cs="Times New Roman"/>
    </w:rPr>
  </w:style>
  <w:style w:type="paragraph" w:customStyle="1" w:styleId="16">
    <w:name w:val="正文表格"/>
    <w:basedOn w:val="1"/>
    <w:qFormat/>
    <w:uiPriority w:val="0"/>
    <w:pPr>
      <w:spacing w:before="60" w:after="60"/>
    </w:pPr>
    <w:rPr>
      <w:rFonts w:ascii="Times New Roman" w:hAnsi="Times New Roman"/>
      <w:sz w:val="24"/>
      <w:szCs w:val="20"/>
    </w:rPr>
  </w:style>
  <w:style w:type="character" w:customStyle="1" w:styleId="17">
    <w:name w:val="标题4 Char"/>
    <w:link w:val="18"/>
    <w:qFormat/>
    <w:locked/>
    <w:uiPriority w:val="0"/>
    <w:rPr>
      <w:rFonts w:ascii="Arial" w:hAnsi="Arial" w:eastAsia="宋体" w:cs="Times New Roman"/>
      <w:b/>
      <w:sz w:val="36"/>
    </w:rPr>
  </w:style>
  <w:style w:type="paragraph" w:customStyle="1" w:styleId="18">
    <w:name w:val="标题4"/>
    <w:basedOn w:val="2"/>
    <w:link w:val="17"/>
    <w:qFormat/>
    <w:uiPriority w:val="0"/>
    <w:pPr>
      <w:spacing w:line="372" w:lineRule="auto"/>
    </w:pPr>
    <w:rPr>
      <w:rFonts w:ascii="Arial" w:hAnsi="Arial" w:eastAsia="宋体" w:cs="Times New Roman"/>
      <w:bCs w:val="0"/>
      <w:sz w:val="36"/>
      <w:szCs w:val="22"/>
    </w:rPr>
  </w:style>
  <w:style w:type="character" w:customStyle="1" w:styleId="19">
    <w:name w:val="标题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9557B-FF87-4357-B2BF-AA6328137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523</Words>
  <Characters>2983</Characters>
  <Lines>24</Lines>
  <Paragraphs>6</Paragraphs>
  <TotalTime>87</TotalTime>
  <ScaleCrop>false</ScaleCrop>
  <LinksUpToDate>false</LinksUpToDate>
  <CharactersWithSpaces>3500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2018-01-22T02:18:00Z</dcterms:created>
  <dc:creator> </dc:creator>
  <cp:lastModifiedBy>十七世纪</cp:lastModifiedBy>
  <dcterms:modified xsi:type="dcterms:W3CDTF">2019-03-04T07:08:16Z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