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天津农村产权交易所廉洁从业监督卡</w:t>
      </w:r>
    </w:p>
    <w:tbl>
      <w:tblPr>
        <w:tblStyle w:val="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583"/>
        <w:gridCol w:w="5"/>
        <w:gridCol w:w="1338"/>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85" w:type="dxa"/>
          </w:tcPr>
          <w:p>
            <w:pPr>
              <w:jc w:val="center"/>
              <w:rPr>
                <w:rFonts w:hint="default"/>
                <w:sz w:val="24"/>
                <w:szCs w:val="24"/>
                <w:vertAlign w:val="baseline"/>
                <w:lang w:val="en-US" w:eastAsia="zh-CN"/>
              </w:rPr>
            </w:pPr>
            <w:r>
              <w:rPr>
                <w:rFonts w:hint="eastAsia"/>
                <w:sz w:val="24"/>
                <w:szCs w:val="24"/>
                <w:vertAlign w:val="baseline"/>
                <w:lang w:val="en-US" w:eastAsia="zh-CN"/>
              </w:rPr>
              <w:t>投诉人</w:t>
            </w:r>
          </w:p>
        </w:tc>
        <w:tc>
          <w:tcPr>
            <w:tcW w:w="2583" w:type="dxa"/>
          </w:tcPr>
          <w:p>
            <w:pPr>
              <w:jc w:val="center"/>
              <w:rPr>
                <w:rFonts w:hint="default"/>
                <w:sz w:val="24"/>
                <w:szCs w:val="24"/>
                <w:vertAlign w:val="baseline"/>
                <w:lang w:val="en-US" w:eastAsia="zh-CN"/>
              </w:rPr>
            </w:pPr>
          </w:p>
        </w:tc>
        <w:tc>
          <w:tcPr>
            <w:tcW w:w="1343" w:type="dxa"/>
            <w:gridSpan w:val="2"/>
          </w:tcPr>
          <w:p>
            <w:pPr>
              <w:jc w:val="center"/>
              <w:rPr>
                <w:rFonts w:hint="default"/>
                <w:sz w:val="24"/>
                <w:szCs w:val="24"/>
                <w:vertAlign w:val="baseline"/>
                <w:lang w:val="en-US" w:eastAsia="zh-CN"/>
              </w:rPr>
            </w:pPr>
            <w:r>
              <w:rPr>
                <w:rFonts w:hint="eastAsia"/>
                <w:sz w:val="24"/>
                <w:szCs w:val="24"/>
                <w:vertAlign w:val="baseline"/>
                <w:lang w:val="en-US" w:eastAsia="zh-CN"/>
              </w:rPr>
              <w:t>联系电话</w:t>
            </w:r>
          </w:p>
        </w:tc>
        <w:tc>
          <w:tcPr>
            <w:tcW w:w="3208"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85" w:type="dxa"/>
          </w:tcPr>
          <w:p>
            <w:pPr>
              <w:jc w:val="center"/>
              <w:rPr>
                <w:rFonts w:hint="default"/>
                <w:sz w:val="24"/>
                <w:szCs w:val="24"/>
                <w:vertAlign w:val="baseline"/>
                <w:lang w:val="en-US" w:eastAsia="zh-CN"/>
              </w:rPr>
            </w:pPr>
            <w:r>
              <w:rPr>
                <w:rFonts w:hint="eastAsia"/>
                <w:sz w:val="24"/>
                <w:szCs w:val="24"/>
                <w:vertAlign w:val="baseline"/>
                <w:lang w:val="en-US" w:eastAsia="zh-CN"/>
              </w:rPr>
              <w:t>单位</w:t>
            </w:r>
          </w:p>
        </w:tc>
        <w:tc>
          <w:tcPr>
            <w:tcW w:w="2588" w:type="dxa"/>
            <w:gridSpan w:val="2"/>
          </w:tcPr>
          <w:p>
            <w:pPr>
              <w:jc w:val="center"/>
              <w:rPr>
                <w:rFonts w:hint="default"/>
                <w:sz w:val="24"/>
                <w:szCs w:val="24"/>
                <w:vertAlign w:val="baseline"/>
                <w:lang w:val="en-US" w:eastAsia="zh-CN"/>
              </w:rPr>
            </w:pPr>
          </w:p>
        </w:tc>
        <w:tc>
          <w:tcPr>
            <w:tcW w:w="1338" w:type="dxa"/>
          </w:tcPr>
          <w:p>
            <w:pPr>
              <w:jc w:val="center"/>
              <w:rPr>
                <w:rFonts w:hint="default"/>
                <w:sz w:val="24"/>
                <w:szCs w:val="24"/>
                <w:vertAlign w:val="baseline"/>
                <w:lang w:val="en-US" w:eastAsia="zh-CN"/>
              </w:rPr>
            </w:pPr>
            <w:r>
              <w:rPr>
                <w:rFonts w:hint="eastAsia"/>
                <w:sz w:val="24"/>
                <w:szCs w:val="24"/>
                <w:vertAlign w:val="baseline"/>
                <w:lang w:val="en-US" w:eastAsia="zh-CN"/>
              </w:rPr>
              <w:t>地址</w:t>
            </w:r>
          </w:p>
        </w:tc>
        <w:tc>
          <w:tcPr>
            <w:tcW w:w="3208" w:type="dxa"/>
          </w:tcPr>
          <w:p>
            <w:pPr>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85" w:type="dxa"/>
          </w:tcPr>
          <w:p>
            <w:pPr>
              <w:jc w:val="center"/>
              <w:rPr>
                <w:rFonts w:hint="default"/>
                <w:sz w:val="24"/>
                <w:szCs w:val="24"/>
                <w:vertAlign w:val="baseline"/>
                <w:lang w:val="en-US" w:eastAsia="zh-CN"/>
              </w:rPr>
            </w:pPr>
            <w:r>
              <w:rPr>
                <w:rFonts w:hint="eastAsia"/>
                <w:sz w:val="24"/>
                <w:szCs w:val="24"/>
                <w:vertAlign w:val="baseline"/>
                <w:lang w:val="en-US" w:eastAsia="zh-CN"/>
              </w:rPr>
              <w:t>监督对象</w:t>
            </w:r>
          </w:p>
        </w:tc>
        <w:tc>
          <w:tcPr>
            <w:tcW w:w="7134" w:type="dxa"/>
            <w:gridSpan w:val="4"/>
          </w:tcPr>
          <w:p>
            <w:pPr>
              <w:jc w:val="left"/>
              <w:rPr>
                <w:rFonts w:hint="default"/>
                <w:sz w:val="24"/>
                <w:szCs w:val="24"/>
                <w:vertAlign w:val="baseline"/>
                <w:lang w:val="en-US" w:eastAsia="zh-CN"/>
              </w:rPr>
            </w:pPr>
            <w:r>
              <w:rPr>
                <w:rFonts w:hint="eastAsia"/>
                <w:sz w:val="24"/>
                <w:szCs w:val="24"/>
                <w:vertAlign w:val="baseline"/>
                <w:lang w:val="en-US" w:eastAsia="zh-CN"/>
              </w:rPr>
              <w:t>（人员姓名）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85" w:type="dxa"/>
            <w:vMerge w:val="restart"/>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监</w:t>
            </w:r>
          </w:p>
          <w:p>
            <w:pPr>
              <w:jc w:val="center"/>
              <w:rPr>
                <w:rFonts w:hint="eastAsia"/>
                <w:sz w:val="24"/>
                <w:szCs w:val="24"/>
                <w:vertAlign w:val="baseline"/>
                <w:lang w:val="en-US" w:eastAsia="zh-CN"/>
              </w:rPr>
            </w:pPr>
            <w:r>
              <w:rPr>
                <w:rFonts w:hint="eastAsia"/>
                <w:sz w:val="24"/>
                <w:szCs w:val="24"/>
                <w:vertAlign w:val="baseline"/>
                <w:lang w:val="en-US" w:eastAsia="zh-CN"/>
              </w:rPr>
              <w:t>督</w:t>
            </w:r>
          </w:p>
          <w:p>
            <w:pPr>
              <w:jc w:val="center"/>
              <w:rPr>
                <w:rFonts w:hint="eastAsia"/>
                <w:sz w:val="24"/>
                <w:szCs w:val="24"/>
                <w:vertAlign w:val="baseline"/>
                <w:lang w:val="en-US" w:eastAsia="zh-CN"/>
              </w:rPr>
            </w:pPr>
            <w:r>
              <w:rPr>
                <w:rFonts w:hint="eastAsia"/>
                <w:sz w:val="24"/>
                <w:szCs w:val="24"/>
                <w:vertAlign w:val="baseline"/>
                <w:lang w:val="en-US" w:eastAsia="zh-CN"/>
              </w:rPr>
              <w:t>内</w:t>
            </w:r>
          </w:p>
          <w:p>
            <w:pPr>
              <w:jc w:val="center"/>
              <w:rPr>
                <w:rFonts w:hint="default"/>
                <w:sz w:val="24"/>
                <w:szCs w:val="24"/>
                <w:vertAlign w:val="baseline"/>
                <w:lang w:val="en-US" w:eastAsia="zh-CN"/>
              </w:rPr>
            </w:pPr>
            <w:r>
              <w:rPr>
                <w:rFonts w:hint="eastAsia"/>
                <w:sz w:val="24"/>
                <w:szCs w:val="24"/>
                <w:vertAlign w:val="baseline"/>
                <w:lang w:val="en-US" w:eastAsia="zh-CN"/>
              </w:rPr>
              <w:t>容</w:t>
            </w:r>
          </w:p>
        </w:tc>
        <w:tc>
          <w:tcPr>
            <w:tcW w:w="7134" w:type="dxa"/>
            <w:gridSpan w:val="4"/>
          </w:tcPr>
          <w:p>
            <w:pPr>
              <w:jc w:val="left"/>
              <w:rPr>
                <w:rFonts w:hint="default"/>
                <w:sz w:val="24"/>
                <w:szCs w:val="24"/>
                <w:vertAlign w:val="baseline"/>
                <w:lang w:val="en-US" w:eastAsia="zh-CN"/>
              </w:rPr>
            </w:pPr>
            <w:r>
              <w:rPr>
                <w:rFonts w:hint="eastAsia"/>
                <w:sz w:val="24"/>
                <w:szCs w:val="24"/>
                <w:vertAlign w:val="baseline"/>
                <w:lang w:val="en-US" w:eastAsia="zh-CN"/>
              </w:rPr>
              <w:t>1、</w:t>
            </w:r>
            <w:r>
              <w:rPr>
                <w:rFonts w:hint="default"/>
                <w:sz w:val="24"/>
                <w:szCs w:val="24"/>
                <w:vertAlign w:val="baseline"/>
                <w:lang w:val="en-US" w:eastAsia="zh-CN"/>
              </w:rPr>
              <w:t>违反</w:t>
            </w:r>
            <w:r>
              <w:rPr>
                <w:rFonts w:hint="eastAsia"/>
                <w:sz w:val="24"/>
                <w:szCs w:val="24"/>
                <w:vertAlign w:val="baseline"/>
                <w:lang w:val="en-US" w:eastAsia="zh-CN"/>
              </w:rPr>
              <w:t>法律法规和天津农村产权交易所</w:t>
            </w:r>
            <w:r>
              <w:rPr>
                <w:rFonts w:hint="default"/>
                <w:sz w:val="24"/>
                <w:szCs w:val="24"/>
                <w:vertAlign w:val="baseline"/>
                <w:lang w:val="en-US" w:eastAsia="zh-CN"/>
              </w:rPr>
              <w:t>业务规则、办法，办理各类农村产权交易业务事项；</w:t>
            </w:r>
          </w:p>
          <w:p>
            <w:pPr>
              <w:jc w:val="left"/>
              <w:rPr>
                <w:rFonts w:hint="eastAsia"/>
                <w:sz w:val="24"/>
                <w:szCs w:val="24"/>
                <w:vertAlign w:val="baseline"/>
                <w:lang w:val="en-US" w:eastAsia="zh-CN"/>
              </w:rPr>
            </w:pPr>
            <w:r>
              <w:rPr>
                <w:rFonts w:hint="eastAsia"/>
                <w:sz w:val="24"/>
                <w:szCs w:val="24"/>
                <w:vertAlign w:val="baseline"/>
                <w:lang w:val="en-US" w:eastAsia="zh-CN"/>
              </w:rPr>
              <w:t>2、从事营利性经营活动和有偿中介活动，或者在外兼职、领取兼职报酬及其他收入；</w:t>
            </w:r>
          </w:p>
          <w:p>
            <w:pPr>
              <w:jc w:val="left"/>
              <w:rPr>
                <w:rFonts w:hint="eastAsia"/>
                <w:sz w:val="24"/>
                <w:szCs w:val="24"/>
                <w:vertAlign w:val="baseline"/>
                <w:lang w:val="en-US" w:eastAsia="zh-CN"/>
              </w:rPr>
            </w:pPr>
            <w:r>
              <w:rPr>
                <w:rFonts w:hint="eastAsia"/>
                <w:sz w:val="24"/>
                <w:szCs w:val="24"/>
                <w:vertAlign w:val="baseline"/>
                <w:lang w:val="en-US" w:eastAsia="zh-CN"/>
              </w:rPr>
              <w:t>3、索要和收受现金、有价证券、购物卡、油卡、提货单、奖品、礼物馈赠及各种名义的回扣、中介费、手续费等；</w:t>
            </w:r>
          </w:p>
          <w:p>
            <w:pPr>
              <w:jc w:val="left"/>
              <w:rPr>
                <w:rFonts w:hint="eastAsia"/>
                <w:sz w:val="24"/>
                <w:szCs w:val="24"/>
                <w:vertAlign w:val="baseline"/>
                <w:lang w:val="en-US" w:eastAsia="zh-CN"/>
              </w:rPr>
            </w:pPr>
            <w:r>
              <w:rPr>
                <w:rFonts w:hint="eastAsia"/>
                <w:sz w:val="24"/>
                <w:szCs w:val="24"/>
                <w:vertAlign w:val="baseline"/>
                <w:lang w:val="en-US" w:eastAsia="zh-CN"/>
              </w:rPr>
              <w:t>4、利用职务上的便利为配偶、子女及其他特定关系人谋取不当利益；</w:t>
            </w:r>
          </w:p>
          <w:p>
            <w:pPr>
              <w:jc w:val="left"/>
              <w:rPr>
                <w:rFonts w:hint="default"/>
                <w:sz w:val="24"/>
                <w:szCs w:val="24"/>
                <w:vertAlign w:val="baseline"/>
                <w:lang w:val="en-US" w:eastAsia="zh-CN"/>
              </w:rPr>
            </w:pPr>
            <w:r>
              <w:rPr>
                <w:rFonts w:hint="eastAsia"/>
                <w:sz w:val="24"/>
                <w:szCs w:val="24"/>
                <w:vertAlign w:val="baseline"/>
                <w:lang w:val="en-US" w:eastAsia="zh-CN"/>
              </w:rPr>
              <w:t>5、利用职务上的便利推荐天津农村产权交易所会员单位展业并谋取不当利益；</w:t>
            </w:r>
          </w:p>
          <w:p>
            <w:pPr>
              <w:jc w:val="left"/>
              <w:rPr>
                <w:rFonts w:hint="default"/>
                <w:sz w:val="24"/>
                <w:szCs w:val="24"/>
                <w:vertAlign w:val="baseline"/>
                <w:lang w:val="en-US" w:eastAsia="zh-CN"/>
              </w:rPr>
            </w:pPr>
            <w:r>
              <w:rPr>
                <w:rFonts w:hint="eastAsia"/>
                <w:sz w:val="24"/>
                <w:szCs w:val="24"/>
                <w:vertAlign w:val="baseline"/>
                <w:lang w:val="en-US" w:eastAsia="zh-CN"/>
              </w:rPr>
              <w:t>6、泄露农村产权交易的报名、竞价等各类保密信息；</w:t>
            </w:r>
          </w:p>
          <w:p>
            <w:pPr>
              <w:jc w:val="left"/>
              <w:rPr>
                <w:rFonts w:hint="eastAsia"/>
                <w:sz w:val="24"/>
                <w:szCs w:val="24"/>
                <w:vertAlign w:val="baseline"/>
                <w:lang w:val="en-US" w:eastAsia="zh-CN"/>
              </w:rPr>
            </w:pPr>
            <w:r>
              <w:rPr>
                <w:rFonts w:hint="eastAsia"/>
                <w:sz w:val="24"/>
                <w:szCs w:val="24"/>
                <w:vertAlign w:val="baseline"/>
                <w:lang w:val="en-US" w:eastAsia="zh-CN"/>
              </w:rPr>
              <w:t>7、接受业务单位宴请、健身、旅游、出国（境）和高消费娱乐等；</w:t>
            </w:r>
          </w:p>
          <w:p>
            <w:pPr>
              <w:jc w:val="left"/>
              <w:rPr>
                <w:rFonts w:hint="eastAsia"/>
                <w:sz w:val="24"/>
                <w:szCs w:val="24"/>
                <w:vertAlign w:val="baseline"/>
                <w:lang w:val="en-US" w:eastAsia="zh-CN"/>
              </w:rPr>
            </w:pPr>
            <w:r>
              <w:rPr>
                <w:rFonts w:hint="eastAsia" w:ascii="宋体" w:hAnsi="宋体" w:eastAsia="宋体" w:cs="宋体"/>
                <w:sz w:val="24"/>
                <w:szCs w:val="24"/>
                <w:lang w:val="en-US" w:eastAsia="zh-CN"/>
              </w:rPr>
              <w:t>8、</w:t>
            </w:r>
            <w:r>
              <w:rPr>
                <w:rFonts w:hint="eastAsia"/>
                <w:sz w:val="24"/>
                <w:szCs w:val="24"/>
                <w:vertAlign w:val="baseline"/>
                <w:lang w:val="en-US" w:eastAsia="zh-CN"/>
              </w:rPr>
              <w:t>到业务单位或服务对象处报销个人费用；</w:t>
            </w:r>
          </w:p>
          <w:p>
            <w:pPr>
              <w:jc w:val="left"/>
              <w:rPr>
                <w:rFonts w:ascii="宋体" w:hAnsi="宋体" w:eastAsia="宋体" w:cs="宋体"/>
                <w:sz w:val="24"/>
                <w:szCs w:val="24"/>
              </w:rPr>
            </w:pPr>
            <w:r>
              <w:rPr>
                <w:rFonts w:hint="eastAsia" w:ascii="宋体" w:hAnsi="宋体" w:eastAsia="宋体" w:cs="宋体"/>
                <w:sz w:val="24"/>
                <w:szCs w:val="24"/>
                <w:lang w:val="en-US" w:eastAsia="zh-CN"/>
              </w:rPr>
              <w:t>9、</w:t>
            </w:r>
            <w:r>
              <w:rPr>
                <w:rFonts w:ascii="宋体" w:hAnsi="宋体" w:eastAsia="宋体" w:cs="宋体"/>
                <w:sz w:val="24"/>
                <w:szCs w:val="24"/>
              </w:rPr>
              <w:t>大办婚丧喜庆事宜，或者借机敛财；</w:t>
            </w:r>
          </w:p>
          <w:p>
            <w:pPr>
              <w:jc w:val="left"/>
              <w:rPr>
                <w:rFonts w:hint="eastAsia" w:eastAsia="宋体"/>
                <w:sz w:val="24"/>
                <w:szCs w:val="24"/>
                <w:vertAlign w:val="baseline"/>
                <w:lang w:val="en-US" w:eastAsia="zh-CN"/>
              </w:rPr>
            </w:pPr>
            <w:r>
              <w:rPr>
                <w:rFonts w:hint="eastAsia"/>
                <w:sz w:val="24"/>
                <w:szCs w:val="24"/>
                <w:vertAlign w:val="baseline"/>
                <w:lang w:val="en-US" w:eastAsia="zh-CN"/>
              </w:rPr>
              <w:t>10、</w:t>
            </w:r>
            <w:r>
              <w:rPr>
                <w:rFonts w:ascii="宋体" w:hAnsi="宋体" w:eastAsia="宋体" w:cs="宋体"/>
                <w:sz w:val="24"/>
                <w:szCs w:val="24"/>
              </w:rPr>
              <w:t>用公款支付与公务无关的娱乐活动费用</w:t>
            </w:r>
            <w:r>
              <w:rPr>
                <w:rFonts w:hint="eastAsia" w:ascii="宋体" w:hAnsi="宋体" w:eastAsia="宋体" w:cs="宋体"/>
                <w:sz w:val="24"/>
                <w:szCs w:val="24"/>
                <w:lang w:eastAsia="zh-CN"/>
              </w:rPr>
              <w:t>；</w:t>
            </w:r>
          </w:p>
          <w:p>
            <w:pPr>
              <w:jc w:val="left"/>
              <w:rPr>
                <w:rFonts w:hint="default"/>
                <w:sz w:val="24"/>
                <w:szCs w:val="24"/>
                <w:vertAlign w:val="baseline"/>
                <w:lang w:val="en-US" w:eastAsia="zh-CN"/>
              </w:rPr>
            </w:pPr>
            <w:r>
              <w:rPr>
                <w:rFonts w:hint="eastAsia"/>
                <w:sz w:val="24"/>
                <w:szCs w:val="24"/>
                <w:vertAlign w:val="baseline"/>
                <w:lang w:val="en-US" w:eastAsia="zh-CN"/>
              </w:rPr>
              <w:t>11、徇私舞弊、滥用职权或者玩忽职守；</w:t>
            </w:r>
          </w:p>
          <w:p>
            <w:pPr>
              <w:jc w:val="left"/>
              <w:rPr>
                <w:rFonts w:hint="default"/>
                <w:sz w:val="24"/>
                <w:szCs w:val="24"/>
                <w:vertAlign w:val="baseline"/>
                <w:lang w:val="en-US" w:eastAsia="zh-CN"/>
              </w:rPr>
            </w:pPr>
            <w:r>
              <w:rPr>
                <w:rFonts w:hint="eastAsia"/>
                <w:sz w:val="24"/>
                <w:szCs w:val="24"/>
                <w:vertAlign w:val="baseline"/>
                <w:lang w:val="en-US" w:eastAsia="zh-CN"/>
              </w:rPr>
              <w:t>12、其他违反廉洁从业的情形。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85" w:type="dxa"/>
            <w:vMerge w:val="continue"/>
          </w:tcPr>
          <w:p>
            <w:pPr>
              <w:jc w:val="center"/>
              <w:rPr>
                <w:rFonts w:hint="default"/>
                <w:sz w:val="24"/>
                <w:szCs w:val="24"/>
                <w:vertAlign w:val="baseline"/>
                <w:lang w:val="en-US" w:eastAsia="zh-CN"/>
              </w:rPr>
            </w:pPr>
          </w:p>
        </w:tc>
        <w:tc>
          <w:tcPr>
            <w:tcW w:w="7134" w:type="dxa"/>
            <w:gridSpan w:val="4"/>
          </w:tcPr>
          <w:p>
            <w:pPr>
              <w:jc w:val="left"/>
              <w:rPr>
                <w:rFonts w:hint="eastAsia"/>
                <w:sz w:val="24"/>
                <w:szCs w:val="24"/>
                <w:vertAlign w:val="baseline"/>
                <w:lang w:val="en-US" w:eastAsia="zh-CN"/>
              </w:rPr>
            </w:pPr>
            <w:r>
              <w:rPr>
                <w:rFonts w:hint="eastAsia"/>
                <w:sz w:val="24"/>
                <w:szCs w:val="24"/>
                <w:vertAlign w:val="baseline"/>
                <w:lang w:val="en-US" w:eastAsia="zh-CN"/>
              </w:rPr>
              <w:t>反映的具体情况：</w:t>
            </w:r>
          </w:p>
          <w:p>
            <w:pPr>
              <w:jc w:val="left"/>
              <w:rPr>
                <w:rFonts w:hint="eastAsia"/>
                <w:sz w:val="24"/>
                <w:szCs w:val="24"/>
                <w:vertAlign w:val="baseline"/>
                <w:lang w:val="en-US" w:eastAsia="zh-CN"/>
              </w:rPr>
            </w:pPr>
          </w:p>
          <w:p>
            <w:pPr>
              <w:jc w:val="left"/>
              <w:rPr>
                <w:rFonts w:hint="eastAsia"/>
                <w:sz w:val="24"/>
                <w:szCs w:val="24"/>
                <w:vertAlign w:val="baseline"/>
                <w:lang w:val="en-US" w:eastAsia="zh-CN"/>
              </w:rPr>
            </w:pPr>
            <w:bookmarkStart w:id="0" w:name="_GoBack"/>
            <w:bookmarkEnd w:id="0"/>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285" w:type="dxa"/>
          </w:tcPr>
          <w:p>
            <w:pPr>
              <w:jc w:val="center"/>
              <w:rPr>
                <w:rFonts w:hint="eastAsia"/>
                <w:sz w:val="24"/>
                <w:szCs w:val="24"/>
                <w:vertAlign w:val="baseline"/>
                <w:lang w:val="en-US" w:eastAsia="zh-CN"/>
              </w:rPr>
            </w:pPr>
          </w:p>
          <w:p>
            <w:pPr>
              <w:jc w:val="center"/>
              <w:rPr>
                <w:rFonts w:hint="eastAsia"/>
                <w:sz w:val="24"/>
                <w:szCs w:val="24"/>
                <w:vertAlign w:val="baseline"/>
                <w:lang w:val="en-US" w:eastAsia="zh-CN"/>
              </w:rPr>
            </w:pPr>
          </w:p>
          <w:p>
            <w:pPr>
              <w:jc w:val="center"/>
              <w:rPr>
                <w:rFonts w:hint="eastAsia"/>
                <w:sz w:val="24"/>
                <w:szCs w:val="24"/>
                <w:vertAlign w:val="baseline"/>
                <w:lang w:val="en-US" w:eastAsia="zh-CN"/>
              </w:rPr>
            </w:pPr>
            <w:r>
              <w:rPr>
                <w:rFonts w:hint="eastAsia"/>
                <w:sz w:val="24"/>
                <w:szCs w:val="24"/>
                <w:vertAlign w:val="baseline"/>
                <w:lang w:val="en-US" w:eastAsia="zh-CN"/>
              </w:rPr>
              <w:t>注</w:t>
            </w:r>
          </w:p>
          <w:p>
            <w:pPr>
              <w:jc w:val="center"/>
              <w:rPr>
                <w:rFonts w:hint="eastAsia"/>
                <w:sz w:val="24"/>
                <w:szCs w:val="24"/>
                <w:vertAlign w:val="baseline"/>
                <w:lang w:val="en-US" w:eastAsia="zh-CN"/>
              </w:rPr>
            </w:pPr>
            <w:r>
              <w:rPr>
                <w:rFonts w:hint="eastAsia"/>
                <w:sz w:val="24"/>
                <w:szCs w:val="24"/>
                <w:vertAlign w:val="baseline"/>
                <w:lang w:val="en-US" w:eastAsia="zh-CN"/>
              </w:rPr>
              <w:t>意</w:t>
            </w:r>
          </w:p>
          <w:p>
            <w:pPr>
              <w:jc w:val="center"/>
              <w:rPr>
                <w:rFonts w:hint="eastAsia"/>
                <w:sz w:val="24"/>
                <w:szCs w:val="24"/>
                <w:vertAlign w:val="baseline"/>
                <w:lang w:val="en-US" w:eastAsia="zh-CN"/>
              </w:rPr>
            </w:pPr>
            <w:r>
              <w:rPr>
                <w:rFonts w:hint="eastAsia"/>
                <w:sz w:val="24"/>
                <w:szCs w:val="24"/>
                <w:vertAlign w:val="baseline"/>
                <w:lang w:val="en-US" w:eastAsia="zh-CN"/>
              </w:rPr>
              <w:t>事</w:t>
            </w:r>
          </w:p>
          <w:p>
            <w:pPr>
              <w:jc w:val="center"/>
              <w:rPr>
                <w:rFonts w:hint="default"/>
                <w:sz w:val="24"/>
                <w:szCs w:val="24"/>
                <w:vertAlign w:val="baseline"/>
                <w:lang w:val="en-US" w:eastAsia="zh-CN"/>
              </w:rPr>
            </w:pPr>
            <w:r>
              <w:rPr>
                <w:rFonts w:hint="eastAsia"/>
                <w:sz w:val="24"/>
                <w:szCs w:val="24"/>
                <w:vertAlign w:val="baseline"/>
                <w:lang w:val="en-US" w:eastAsia="zh-CN"/>
              </w:rPr>
              <w:t>项</w:t>
            </w:r>
          </w:p>
        </w:tc>
        <w:tc>
          <w:tcPr>
            <w:tcW w:w="7134" w:type="dxa"/>
            <w:gridSpan w:val="4"/>
          </w:tcPr>
          <w:p>
            <w:pPr>
              <w:numPr>
                <w:ilvl w:val="0"/>
                <w:numId w:val="1"/>
              </w:numPr>
              <w:jc w:val="left"/>
              <w:rPr>
                <w:rFonts w:hint="eastAsia"/>
                <w:sz w:val="24"/>
                <w:szCs w:val="24"/>
                <w:vertAlign w:val="baseline"/>
                <w:lang w:val="en-US" w:eastAsia="zh-CN"/>
              </w:rPr>
            </w:pPr>
            <w:r>
              <w:rPr>
                <w:rFonts w:hint="eastAsia"/>
                <w:sz w:val="24"/>
                <w:szCs w:val="24"/>
                <w:vertAlign w:val="baseline"/>
                <w:lang w:val="en-US" w:eastAsia="zh-CN"/>
              </w:rPr>
              <w:t>本监督卡专为当事人投诉举报天津农村产权交易所党员领导、管理人员、工作人员在农村产权交易过程中有无不廉洁行为而设，反映情况须实事求是，不得诬告。</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反映的情况如空格内写不下，可另附纸页。</w:t>
            </w:r>
          </w:p>
          <w:p>
            <w:pPr>
              <w:numPr>
                <w:ilvl w:val="0"/>
                <w:numId w:val="1"/>
              </w:numPr>
              <w:jc w:val="left"/>
              <w:rPr>
                <w:rFonts w:hint="default"/>
                <w:sz w:val="24"/>
                <w:szCs w:val="24"/>
                <w:vertAlign w:val="baseline"/>
                <w:lang w:val="en-US" w:eastAsia="zh-CN"/>
              </w:rPr>
            </w:pPr>
            <w:r>
              <w:rPr>
                <w:rFonts w:hint="default"/>
                <w:sz w:val="24"/>
                <w:szCs w:val="24"/>
                <w:vertAlign w:val="baseline"/>
                <w:lang w:val="en-US" w:eastAsia="zh-CN"/>
              </w:rPr>
              <w:t>我们郑重承诺为监督人保密，依法维护您的合法权益。如您感到不方便，可以不填写</w:t>
            </w:r>
            <w:r>
              <w:rPr>
                <w:rFonts w:hint="eastAsia"/>
                <w:sz w:val="24"/>
                <w:szCs w:val="24"/>
                <w:vertAlign w:val="baseline"/>
                <w:lang w:val="en-US" w:eastAsia="zh-CN"/>
              </w:rPr>
              <w:t>投诉</w:t>
            </w:r>
            <w:r>
              <w:rPr>
                <w:rFonts w:hint="default"/>
                <w:sz w:val="24"/>
                <w:szCs w:val="24"/>
                <w:vertAlign w:val="baseline"/>
                <w:lang w:val="en-US" w:eastAsia="zh-CN"/>
              </w:rPr>
              <w:t>人、单位、联系电话及详细地址</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本卡填写后请寄到天津市河西区琼州道103号天津农村产权交易所，纪检监察员收。</w:t>
            </w:r>
          </w:p>
          <w:p>
            <w:pPr>
              <w:numPr>
                <w:ilvl w:val="0"/>
                <w:numId w:val="1"/>
              </w:numPr>
              <w:jc w:val="left"/>
              <w:rPr>
                <w:rFonts w:hint="default"/>
                <w:sz w:val="24"/>
                <w:szCs w:val="24"/>
                <w:vertAlign w:val="baseline"/>
                <w:lang w:val="en-US" w:eastAsia="zh-CN"/>
              </w:rPr>
            </w:pPr>
            <w:r>
              <w:rPr>
                <w:rFonts w:hint="eastAsia"/>
                <w:sz w:val="24"/>
                <w:szCs w:val="24"/>
                <w:vertAlign w:val="baseline"/>
                <w:lang w:val="en-US" w:eastAsia="zh-CN"/>
              </w:rPr>
              <w:t>举报电话：022-58791052转8010</w:t>
            </w:r>
          </w:p>
          <w:p>
            <w:pPr>
              <w:numPr>
                <w:numId w:val="0"/>
              </w:numPr>
              <w:ind w:firstLine="480" w:firstLineChars="200"/>
              <w:jc w:val="left"/>
              <w:rPr>
                <w:rFonts w:hint="default"/>
                <w:sz w:val="24"/>
                <w:szCs w:val="24"/>
                <w:vertAlign w:val="baseline"/>
                <w:lang w:val="en-US" w:eastAsia="zh-CN"/>
              </w:rPr>
            </w:pPr>
            <w:r>
              <w:rPr>
                <w:rFonts w:hint="eastAsia"/>
                <w:sz w:val="24"/>
                <w:szCs w:val="24"/>
                <w:vertAlign w:val="baseline"/>
                <w:lang w:val="en-US" w:eastAsia="zh-CN"/>
              </w:rPr>
              <w:t>举报邮箱：tjnjs58793684@163.com</w:t>
            </w:r>
          </w:p>
        </w:tc>
      </w:tr>
    </w:tbl>
    <w:p>
      <w:pPr>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25DC"/>
    <w:multiLevelType w:val="singleLevel"/>
    <w:tmpl w:val="038725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A01F8"/>
    <w:rsid w:val="0DC31145"/>
    <w:rsid w:val="55A96AA1"/>
    <w:rsid w:val="5888222A"/>
    <w:rsid w:val="68C74114"/>
    <w:rsid w:val="718A01F8"/>
    <w:rsid w:val="7FBC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2020-06-13T05:28:00Z</dcterms:created>
  <dc:creator>tjnjs-zka</dc:creator>
  <cp:lastModifiedBy>哆啦A菁</cp:lastModifiedBy>
  <cp:lastPrinted>2020-06-18T05:41:00Z</cp:lastPrinted>
  <dcterms:modified xsi:type="dcterms:W3CDTF">2021-09-18T01:50:53Z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